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3D" w:rsidRPr="00226B3D" w:rsidRDefault="00226B3D" w:rsidP="00226B3D">
      <w:pPr>
        <w:shd w:val="clear" w:color="auto" w:fill="FFFFFF"/>
        <w:spacing w:after="100" w:afterAutospacing="1" w:line="240" w:lineRule="auto"/>
        <w:outlineLvl w:val="0"/>
        <w:rPr>
          <w:rFonts w:ascii="Scada" w:eastAsia="Times New Roman" w:hAnsi="Scada" w:cs="Times New Roman"/>
          <w:color w:val="212529"/>
          <w:kern w:val="36"/>
          <w:sz w:val="48"/>
          <w:szCs w:val="48"/>
          <w:lang w:eastAsia="ru-RU"/>
        </w:rPr>
      </w:pPr>
      <w:r w:rsidRPr="00226B3D">
        <w:rPr>
          <w:rFonts w:ascii="Scada" w:eastAsia="Times New Roman" w:hAnsi="Scada" w:cs="Times New Roman"/>
          <w:color w:val="212529"/>
          <w:kern w:val="36"/>
          <w:sz w:val="48"/>
          <w:szCs w:val="48"/>
          <w:lang w:eastAsia="ru-RU"/>
        </w:rPr>
        <w:t>Функциональная грамотность</w:t>
      </w:r>
    </w:p>
    <w:p w:rsidR="00226B3D" w:rsidRPr="00226B3D" w:rsidRDefault="00226B3D" w:rsidP="00226B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Международные исследования оказали в последние годы наибольшее влияние на развитие образования в мире, в том числе и в России. Не учитывать результаты международных исследований отечественное образование сегодня не может, поскольку вопрос о конкурентоспособности стоит очень остро. Известно, что качество российского образования отличается от качества образования за рубежом.</w:t>
      </w:r>
    </w:p>
    <w:p w:rsidR="00226B3D" w:rsidRPr="00226B3D" w:rsidRDefault="00226B3D" w:rsidP="00226B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Центральным понятием в международной программе выступает «грамотность», которая в широком смысле определяется еще и как функциональная грамотность. Этот термин отражает </w:t>
      </w:r>
      <w:proofErr w:type="spellStart"/>
      <w:r w:rsidRPr="0022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общеучебную</w:t>
      </w:r>
      <w:proofErr w:type="spellEnd"/>
      <w:r w:rsidRPr="0022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компетенцию, что на современном этапе обеспечивается за счет внедрения Федерального государственного образовательного стандарта (далее ФГОС) всех ступеней образования.</w:t>
      </w:r>
    </w:p>
    <w:p w:rsidR="00FB3FB2" w:rsidRPr="00FB3FB2" w:rsidRDefault="00226B3D" w:rsidP="00226B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3FB2" w:rsidRPr="00FB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Функциональная грамотность – это </w:t>
      </w:r>
      <w:r w:rsidR="00FB3FB2" w:rsidRPr="00FB3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способность человека свободно использовать навыки и умения чтения и письма для получения информации из текста,</w:t>
      </w:r>
      <w:r w:rsidR="00FB3FB2" w:rsidRPr="00FB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есть для его понимания, компрессии, трансформации и т.д. (чтение) и для передачи такой информации в реальном общении (письмо).  А. </w:t>
      </w:r>
      <w:proofErr w:type="spellStart"/>
      <w:r w:rsidR="00FB3FB2" w:rsidRPr="00FB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А.Леонтьев</w:t>
      </w:r>
      <w:proofErr w:type="spellEnd"/>
    </w:p>
    <w:p w:rsidR="00FB3FB2" w:rsidRPr="00FB3FB2" w:rsidRDefault="00FB3FB2" w:rsidP="00FB3F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FB2" w:rsidRPr="00FB3FB2" w:rsidRDefault="00FB3FB2" w:rsidP="00FB3F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 социальной ориентации личности, </w:t>
      </w:r>
      <w:r w:rsidRPr="00FB3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интегрирующий связь образования</w:t>
      </w:r>
      <w:r w:rsidRPr="00FB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первую очередь общего) с </w:t>
      </w:r>
      <w:r w:rsidRPr="00FB3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многоплановой человеческой деятельностью</w:t>
      </w:r>
      <w:r w:rsidRPr="00FB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С.Г. </w:t>
      </w:r>
      <w:proofErr w:type="spellStart"/>
      <w:r w:rsidRPr="00FB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Вершловский</w:t>
      </w:r>
      <w:proofErr w:type="spellEnd"/>
      <w:r w:rsidRPr="00FB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М.Г. Матюшкина</w:t>
      </w:r>
    </w:p>
    <w:p w:rsidR="00FB3FB2" w:rsidRPr="00FB3FB2" w:rsidRDefault="00FB3FB2" w:rsidP="00FB3F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B3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повышаемый по мере развития общества уровень знаний и умений</w:t>
      </w:r>
      <w:r w:rsidRPr="00FB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частности умения</w:t>
      </w:r>
      <w:r w:rsidR="00460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писать, необходимый для полноправного и эффективного участия в экономической,</w:t>
      </w:r>
      <w:r w:rsidR="00460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политической, гражданской, общественной и культурной жизни своего общества и своей страны, для содействия их прогрессу и для собственного развития. С.А. </w:t>
      </w:r>
      <w:proofErr w:type="spellStart"/>
      <w:r w:rsidRPr="00FB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Тангян</w:t>
      </w:r>
      <w:proofErr w:type="spellEnd"/>
    </w:p>
    <w:p w:rsidR="00FB3FB2" w:rsidRPr="00FB3FB2" w:rsidRDefault="00FB3FB2" w:rsidP="00FB3F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способность человека </w:t>
      </w:r>
      <w:r w:rsidRPr="00FB3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вступать в отношения с внешней средой и максимально быстро</w:t>
      </w:r>
      <w:r w:rsidR="004609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B3F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адаптироваться и функционировать в ней</w:t>
      </w:r>
      <w:r w:rsidRPr="00FB3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В.В Мацкевич и С.А. Крупник</w:t>
      </w:r>
    </w:p>
    <w:p w:rsidR="00FB3FB2" w:rsidRPr="00FB3FB2" w:rsidRDefault="00FB3FB2" w:rsidP="00FB3FB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FB3FB2" w:rsidRPr="00FB3FB2" w:rsidRDefault="00FB3FB2" w:rsidP="00FB3FB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B3FB2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Составляющие функциональной грамотности </w:t>
      </w:r>
    </w:p>
    <w:p w:rsidR="00FB3FB2" w:rsidRPr="00FB3FB2" w:rsidRDefault="00FB3FB2" w:rsidP="00FB3FB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3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Читательская грамотность </w:t>
      </w:r>
    </w:p>
    <w:p w:rsidR="00FB3FB2" w:rsidRDefault="00FB3FB2" w:rsidP="00FB3FB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B3FB2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человека понимать и использовать письменное тексты, размышлять о них и заниматься чтением, чтобы достигать своих целей, расширять свои знания и возможности, участвовать в социальной жизни. </w:t>
      </w:r>
    </w:p>
    <w:p w:rsidR="00460964" w:rsidRPr="00460964" w:rsidRDefault="00460964" w:rsidP="00FB3FB2">
      <w:pPr>
        <w:spacing w:after="0" w:line="240" w:lineRule="auto"/>
        <w:ind w:firstLine="709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60964">
        <w:rPr>
          <w:rFonts w:ascii="Times New Roman" w:hAnsi="Times New Roman" w:cs="Times New Roman"/>
          <w:b/>
          <w:color w:val="0070C0"/>
          <w:sz w:val="24"/>
          <w:szCs w:val="24"/>
        </w:rPr>
        <w:t>https://prosv.ru/news/show/5747.html</w:t>
      </w:r>
    </w:p>
    <w:p w:rsidR="00FB3FB2" w:rsidRPr="00FB3FB2" w:rsidRDefault="00FB3FB2" w:rsidP="00FB3FB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3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Естественно-научная грамотность </w:t>
      </w:r>
    </w:p>
    <w:p w:rsidR="00FB3FB2" w:rsidRDefault="00FB3FB2" w:rsidP="00FB3FB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B3FB2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человека занимать активную гражданскую позицию по вопросам, связанным с естественно-научными идеями: научно объяснять явления; понимать особенности естественно-научного исследования; интерпретировать данные и использовать научные доказательства. </w:t>
      </w:r>
    </w:p>
    <w:p w:rsidR="00460964" w:rsidRPr="00460964" w:rsidRDefault="00460964" w:rsidP="00FB3FB2">
      <w:pPr>
        <w:spacing w:after="0" w:line="240" w:lineRule="auto"/>
        <w:ind w:firstLine="709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60964">
        <w:rPr>
          <w:rFonts w:ascii="Times New Roman" w:hAnsi="Times New Roman" w:cs="Times New Roman"/>
          <w:b/>
          <w:color w:val="0070C0"/>
          <w:sz w:val="24"/>
          <w:szCs w:val="24"/>
        </w:rPr>
        <w:t>https://fipi.ru/otkrytyy-bank-zadaniy-dlya-otsenki-yestestvennonauchnoy-gramotnosti</w:t>
      </w:r>
    </w:p>
    <w:p w:rsidR="00FB3FB2" w:rsidRPr="00FB3FB2" w:rsidRDefault="00FB3FB2" w:rsidP="00FB3FB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3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Математическая грамотность </w:t>
      </w:r>
    </w:p>
    <w:p w:rsidR="00FB3FB2" w:rsidRDefault="00FB3FB2" w:rsidP="00FB3FB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B3FB2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формулировать, применять и интерпретировать математику в разнообразных контекстах: применять математические рассуждения; использовать математические понятия и инструменты. </w:t>
      </w:r>
    </w:p>
    <w:p w:rsidR="00460964" w:rsidRPr="00226B3D" w:rsidRDefault="00460964" w:rsidP="00FB3FB2">
      <w:pPr>
        <w:spacing w:after="0" w:line="240" w:lineRule="auto"/>
        <w:ind w:firstLine="709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26B3D">
        <w:rPr>
          <w:rFonts w:ascii="Times New Roman" w:hAnsi="Times New Roman" w:cs="Times New Roman"/>
          <w:b/>
          <w:color w:val="0070C0"/>
          <w:sz w:val="24"/>
          <w:szCs w:val="24"/>
        </w:rPr>
        <w:t>ht</w:t>
      </w:r>
      <w:r w:rsidR="00226B3D" w:rsidRPr="00226B3D">
        <w:rPr>
          <w:rFonts w:ascii="Times New Roman" w:hAnsi="Times New Roman" w:cs="Times New Roman"/>
          <w:b/>
          <w:color w:val="0070C0"/>
          <w:sz w:val="24"/>
          <w:szCs w:val="24"/>
        </w:rPr>
        <w:t>tps://iro86.ru/images/Documents</w:t>
      </w:r>
    </w:p>
    <w:p w:rsidR="00FB3FB2" w:rsidRDefault="00FB3FB2" w:rsidP="00FB3FB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3F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Финансовая грамотность </w:t>
      </w:r>
    </w:p>
    <w:p w:rsidR="00460964" w:rsidRPr="00460964" w:rsidRDefault="00460964" w:rsidP="004609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60964">
        <w:rPr>
          <w:rFonts w:ascii="Times New Roman" w:hAnsi="Times New Roman" w:cs="Times New Roman"/>
          <w:color w:val="000000"/>
          <w:sz w:val="24"/>
          <w:szCs w:val="24"/>
        </w:rPr>
        <w:t>овокупность знаний, навыков и установок в сфере финансового поведения человека, ведущих к улучшению благосостояния и повышению качества жизни.</w:t>
      </w:r>
    </w:p>
    <w:p w:rsidR="00460964" w:rsidRPr="00460964" w:rsidRDefault="00460964" w:rsidP="004609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60964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более высоком уровне она также включает в себя взаимодействие с банками и кредитными организациями, использование эффективных денежных инструментов, трезвую оценку экономического положения своего региона и всей страны.</w:t>
      </w:r>
    </w:p>
    <w:p w:rsidR="00460964" w:rsidRPr="00460964" w:rsidRDefault="00460964" w:rsidP="00FB3FB2">
      <w:pPr>
        <w:spacing w:after="0" w:line="240" w:lineRule="auto"/>
        <w:ind w:firstLine="709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60964">
        <w:rPr>
          <w:rFonts w:ascii="Times New Roman" w:hAnsi="Times New Roman" w:cs="Times New Roman"/>
          <w:b/>
          <w:color w:val="0070C0"/>
          <w:sz w:val="24"/>
          <w:szCs w:val="24"/>
        </w:rPr>
        <w:t>https://fmc.hse.ru/methodology</w:t>
      </w:r>
    </w:p>
    <w:p w:rsidR="00FB3FB2" w:rsidRPr="00FB3FB2" w:rsidRDefault="00FB3FB2" w:rsidP="00FB3FB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3FB2">
        <w:rPr>
          <w:rFonts w:ascii="Times New Roman" w:hAnsi="Times New Roman" w:cs="Times New Roman"/>
          <w:b/>
          <w:color w:val="000000"/>
          <w:sz w:val="24"/>
          <w:szCs w:val="24"/>
        </w:rPr>
        <w:t>5. Креативное мышление</w:t>
      </w:r>
    </w:p>
    <w:p w:rsidR="00FB3FB2" w:rsidRDefault="00FB3FB2" w:rsidP="00FB3FB2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FB3F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B3FB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пособность продуктивно участвовать в процессе выработки, оценки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FB3FB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FB3FB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совершенствовании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FB3FB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идей,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FB3FB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направленных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FB3FB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инновационных и эффективных решений, и/или нового знания,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FB3FB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и/или эффектного выражения воображения.</w:t>
      </w:r>
    </w:p>
    <w:p w:rsidR="00226B3D" w:rsidRPr="00FB3FB2" w:rsidRDefault="00226B3D" w:rsidP="00FB3FB2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70C0"/>
          <w:sz w:val="23"/>
          <w:szCs w:val="23"/>
          <w:lang w:val="en-US" w:eastAsia="ru-RU"/>
        </w:rPr>
      </w:pPr>
      <w:hyperlink r:id="rId5" w:tgtFrame="_blank" w:history="1">
        <w:proofErr w:type="spellStart"/>
        <w:r w:rsidRPr="00226B3D">
          <w:rPr>
            <w:rStyle w:val="a3"/>
            <w:rFonts w:ascii="YS Text" w:hAnsi="YS Text"/>
            <w:b/>
            <w:bCs/>
            <w:color w:val="0070C0"/>
            <w:sz w:val="21"/>
            <w:szCs w:val="21"/>
            <w:u w:val="none"/>
            <w:shd w:val="clear" w:color="auto" w:fill="FFFFFF"/>
            <w:lang w:val="en-US"/>
          </w:rPr>
          <w:t>rosuchebnik.ru</w:t>
        </w:r>
        <w:r w:rsidRPr="00226B3D">
          <w:rPr>
            <w:rStyle w:val="path-separator"/>
            <w:rFonts w:ascii="Verdana" w:hAnsi="Verdana"/>
            <w:color w:val="0070C0"/>
            <w:sz w:val="21"/>
            <w:szCs w:val="21"/>
            <w:shd w:val="clear" w:color="auto" w:fill="FFFFFF"/>
            <w:lang w:val="en-US"/>
          </w:rPr>
          <w:t>›</w:t>
        </w:r>
        <w:r w:rsidRPr="00226B3D">
          <w:rPr>
            <w:rStyle w:val="a3"/>
            <w:rFonts w:ascii="YS Text" w:hAnsi="YS Text"/>
            <w:color w:val="0070C0"/>
            <w:sz w:val="21"/>
            <w:szCs w:val="21"/>
            <w:u w:val="none"/>
            <w:shd w:val="clear" w:color="auto" w:fill="FFFFFF"/>
            <w:lang w:val="en-US"/>
          </w:rPr>
          <w:t>upload</w:t>
        </w:r>
        <w:proofErr w:type="spellEnd"/>
        <w:r w:rsidRPr="00226B3D">
          <w:rPr>
            <w:rStyle w:val="a3"/>
            <w:rFonts w:ascii="YS Text" w:hAnsi="YS Text"/>
            <w:color w:val="0070C0"/>
            <w:sz w:val="21"/>
            <w:szCs w:val="21"/>
            <w:u w:val="none"/>
            <w:shd w:val="clear" w:color="auto" w:fill="FFFFFF"/>
            <w:lang w:val="en-US"/>
          </w:rPr>
          <w:t>/</w:t>
        </w:r>
        <w:proofErr w:type="spellStart"/>
        <w:r w:rsidRPr="00226B3D">
          <w:rPr>
            <w:rStyle w:val="a3"/>
            <w:rFonts w:ascii="YS Text" w:hAnsi="YS Text"/>
            <w:color w:val="0070C0"/>
            <w:sz w:val="21"/>
            <w:szCs w:val="21"/>
            <w:u w:val="none"/>
            <w:shd w:val="clear" w:color="auto" w:fill="FFFFFF"/>
            <w:lang w:val="en-US"/>
          </w:rPr>
          <w:t>iblock</w:t>
        </w:r>
        <w:proofErr w:type="spellEnd"/>
        <w:r w:rsidRPr="00226B3D">
          <w:rPr>
            <w:rStyle w:val="a3"/>
            <w:rFonts w:ascii="YS Text" w:hAnsi="YS Text"/>
            <w:color w:val="0070C0"/>
            <w:sz w:val="21"/>
            <w:szCs w:val="21"/>
            <w:u w:val="none"/>
            <w:shd w:val="clear" w:color="auto" w:fill="FFFFFF"/>
            <w:lang w:val="en-US"/>
          </w:rPr>
          <w:t>/a72/….pdf</w:t>
        </w:r>
      </w:hyperlink>
    </w:p>
    <w:p w:rsidR="00460964" w:rsidRDefault="00FB3FB2" w:rsidP="00FB3FB2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3FB2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460964">
        <w:rPr>
          <w:rFonts w:ascii="Times New Roman" w:hAnsi="Times New Roman" w:cs="Times New Roman"/>
          <w:b/>
          <w:color w:val="000000"/>
          <w:sz w:val="24"/>
          <w:szCs w:val="24"/>
        </w:rPr>
        <w:t>Глобальные компетенции</w:t>
      </w:r>
    </w:p>
    <w:p w:rsidR="00460964" w:rsidRDefault="00460964" w:rsidP="00460964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60964">
        <w:rPr>
          <w:rFonts w:ascii="Times New Roman" w:hAnsi="Times New Roman" w:cs="Times New Roman"/>
          <w:color w:val="000000"/>
          <w:sz w:val="24"/>
          <w:szCs w:val="24"/>
        </w:rPr>
        <w:t>очетание знаний,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0964">
        <w:rPr>
          <w:rFonts w:ascii="Times New Roman" w:hAnsi="Times New Roman" w:cs="Times New Roman"/>
          <w:color w:val="000000"/>
          <w:sz w:val="24"/>
          <w:szCs w:val="24"/>
        </w:rPr>
        <w:t>умений, взглядов, отношений и ценностей, успешно применяемых при личном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0964">
        <w:rPr>
          <w:rFonts w:ascii="Times New Roman" w:hAnsi="Times New Roman" w:cs="Times New Roman"/>
          <w:color w:val="000000"/>
          <w:sz w:val="24"/>
          <w:szCs w:val="24"/>
        </w:rPr>
        <w:t>виртуальном взаимодействии с людьми, которые принадлежат к другой культурной среде,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0964">
        <w:rPr>
          <w:rFonts w:ascii="Times New Roman" w:hAnsi="Times New Roman" w:cs="Times New Roman"/>
          <w:color w:val="000000"/>
          <w:sz w:val="24"/>
          <w:szCs w:val="24"/>
        </w:rPr>
        <w:t>и при участии отдельных лиц в решении глобальных проблем (т.е. в ситуациях, требующих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0964">
        <w:rPr>
          <w:rFonts w:ascii="Times New Roman" w:hAnsi="Times New Roman" w:cs="Times New Roman"/>
          <w:color w:val="000000"/>
          <w:sz w:val="24"/>
          <w:szCs w:val="24"/>
        </w:rPr>
        <w:t>от человека понимания проблем, которые не имеют национальных границ и оказывают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0964">
        <w:rPr>
          <w:rFonts w:ascii="Times New Roman" w:hAnsi="Times New Roman" w:cs="Times New Roman"/>
          <w:color w:val="000000"/>
          <w:sz w:val="24"/>
          <w:szCs w:val="24"/>
        </w:rPr>
        <w:t xml:space="preserve">влияние на жизнь нынешнего и будущих поколений). </w:t>
      </w:r>
    </w:p>
    <w:p w:rsidR="00460964" w:rsidRPr="00460964" w:rsidRDefault="00460964" w:rsidP="00460964">
      <w:pPr>
        <w:spacing w:after="0" w:line="240" w:lineRule="auto"/>
        <w:ind w:firstLine="709"/>
        <w:rPr>
          <w:rFonts w:ascii="Times New Roman" w:hAnsi="Times New Roman" w:cs="Times New Roman"/>
          <w:color w:val="0070C0"/>
          <w:sz w:val="24"/>
          <w:szCs w:val="24"/>
        </w:rPr>
      </w:pPr>
      <w:r w:rsidRPr="00460964">
        <w:rPr>
          <w:rFonts w:ascii="Times New Roman" w:hAnsi="Times New Roman" w:cs="Times New Roman"/>
          <w:color w:val="0070C0"/>
          <w:sz w:val="24"/>
          <w:szCs w:val="24"/>
        </w:rPr>
        <w:t>https://pochtschool.crm.eduru.ru/media/2021/11/22/1305306376/Global_ny_e_kompetencii_compressed.pdf</w:t>
      </w:r>
    </w:p>
    <w:p w:rsidR="00FB3FB2" w:rsidRDefault="00FB3FB2" w:rsidP="00FB3FB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FB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3FB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26B3D" w:rsidRPr="00226B3D">
        <w:rPr>
          <w:rFonts w:ascii="Times New Roman" w:hAnsi="Times New Roman" w:cs="Times New Roman"/>
          <w:b/>
          <w:sz w:val="24"/>
          <w:szCs w:val="24"/>
          <w:u w:val="single"/>
        </w:rPr>
        <w:t>Электронный банк заданий</w:t>
      </w:r>
    </w:p>
    <w:p w:rsidR="00226B3D" w:rsidRPr="00226B3D" w:rsidRDefault="00226B3D" w:rsidP="00FB3FB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6B3D" w:rsidRPr="00226B3D" w:rsidRDefault="00226B3D" w:rsidP="00226B3D">
      <w:p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b/>
          <w:bCs/>
          <w:color w:val="000000"/>
          <w:sz w:val="23"/>
          <w:szCs w:val="23"/>
          <w:lang w:eastAsia="ru-RU"/>
        </w:rPr>
        <w:t>Р</w:t>
      </w:r>
      <w:r w:rsidRPr="00226B3D">
        <w:rPr>
          <w:rFonts w:ascii="YS Text" w:eastAsia="Times New Roman" w:hAnsi="YS Text" w:cs="Times New Roman"/>
          <w:b/>
          <w:bCs/>
          <w:color w:val="000000"/>
          <w:sz w:val="23"/>
          <w:szCs w:val="23"/>
          <w:lang w:eastAsia="ru-RU"/>
        </w:rPr>
        <w:t>азработаны Интернет-ресурсы, контент которых можно использовать для развития и оценки функциональной грамотности обучающихся: </w:t>
      </w:r>
    </w:p>
    <w:p w:rsidR="00226B3D" w:rsidRPr="00226B3D" w:rsidRDefault="00226B3D" w:rsidP="00226B3D">
      <w:p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26B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1. Электронный банк </w:t>
      </w:r>
      <w:proofErr w:type="spellStart"/>
      <w:proofErr w:type="gramStart"/>
      <w:r w:rsidRPr="00226B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заданий:</w:t>
      </w:r>
      <w:hyperlink r:id="rId6" w:tgtFrame="_blank" w:history="1">
        <w:r w:rsidRPr="00226B3D">
          <w:rPr>
            <w:rStyle w:val="a3"/>
            <w:rFonts w:ascii="YS Text" w:eastAsia="Times New Roman" w:hAnsi="YS Text" w:cs="Times New Roman"/>
            <w:sz w:val="23"/>
            <w:szCs w:val="23"/>
            <w:lang w:eastAsia="ru-RU"/>
          </w:rPr>
          <w:t>https</w:t>
        </w:r>
        <w:proofErr w:type="spellEnd"/>
        <w:r w:rsidRPr="00226B3D">
          <w:rPr>
            <w:rStyle w:val="a3"/>
            <w:rFonts w:ascii="YS Text" w:eastAsia="Times New Roman" w:hAnsi="YS Text" w:cs="Times New Roman"/>
            <w:sz w:val="23"/>
            <w:szCs w:val="23"/>
            <w:lang w:eastAsia="ru-RU"/>
          </w:rPr>
          <w:t>://fg.resh.edu.ru/</w:t>
        </w:r>
        <w:proofErr w:type="gramEnd"/>
        <w:r w:rsidRPr="00226B3D">
          <w:rPr>
            <w:rStyle w:val="a3"/>
            <w:rFonts w:ascii="YS Text" w:eastAsia="Times New Roman" w:hAnsi="YS Text" w:cs="Times New Roman"/>
            <w:sz w:val="23"/>
            <w:szCs w:val="23"/>
            <w:lang w:eastAsia="ru-RU"/>
          </w:rPr>
          <w:t>.</w:t>
        </w:r>
      </w:hyperlink>
    </w:p>
    <w:p w:rsidR="00226B3D" w:rsidRPr="00226B3D" w:rsidRDefault="00226B3D" w:rsidP="00226B3D">
      <w:p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26B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Пошаговая инструкция, как получить доступ к электронному банку заданий, представлена в руководстве пользователя. Ознакомиться с руководством пользователя можно по ссылке </w:t>
      </w:r>
      <w:hyperlink r:id="rId7" w:tgtFrame="_blank" w:history="1">
        <w:r w:rsidRPr="00226B3D">
          <w:rPr>
            <w:rStyle w:val="a3"/>
            <w:rFonts w:ascii="YS Text" w:eastAsia="Times New Roman" w:hAnsi="YS Text" w:cs="Times New Roman"/>
            <w:sz w:val="23"/>
            <w:szCs w:val="23"/>
            <w:lang w:eastAsia="ru-RU"/>
          </w:rPr>
          <w:t>https://resh.edu.ru/instruction.</w:t>
        </w:r>
      </w:hyperlink>
    </w:p>
    <w:p w:rsidR="00226B3D" w:rsidRPr="00226B3D" w:rsidRDefault="00226B3D" w:rsidP="00226B3D">
      <w:p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26B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2. Общероссийская оценка по модели PISA. </w:t>
      </w:r>
      <w:proofErr w:type="spellStart"/>
      <w:r w:rsidRPr="00226B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Вебинар</w:t>
      </w:r>
      <w:proofErr w:type="spellEnd"/>
      <w:r w:rsidRPr="00226B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для образовательных организаций (25.09.2020). Презентация платформы «Электронный банк тренировочных заданий по оценке функциональной грамотности» </w:t>
      </w:r>
      <w:hyperlink r:id="rId8" w:tgtFrame="_blank" w:history="1">
        <w:r w:rsidRPr="00226B3D">
          <w:rPr>
            <w:rStyle w:val="a3"/>
            <w:rFonts w:ascii="YS Text" w:eastAsia="Times New Roman" w:hAnsi="YS Text" w:cs="Times New Roman"/>
            <w:sz w:val="23"/>
            <w:szCs w:val="23"/>
            <w:lang w:eastAsia="ru-RU"/>
          </w:rPr>
          <w:t>https://fioco.ru/vebinar-shkoly-ocenka-pisa.</w:t>
        </w:r>
      </w:hyperlink>
    </w:p>
    <w:p w:rsidR="00226B3D" w:rsidRPr="00226B3D" w:rsidRDefault="00226B3D" w:rsidP="00226B3D">
      <w:p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26B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3. Открытые задания </w:t>
      </w:r>
      <w:hyperlink r:id="rId9" w:tgtFrame="_blank" w:history="1">
        <w:r w:rsidRPr="00226B3D">
          <w:rPr>
            <w:rStyle w:val="a3"/>
            <w:rFonts w:ascii="YS Text" w:eastAsia="Times New Roman" w:hAnsi="YS Text" w:cs="Times New Roman"/>
            <w:sz w:val="23"/>
            <w:szCs w:val="23"/>
            <w:lang w:eastAsia="ru-RU"/>
          </w:rPr>
          <w:t>https://fioco.ru/примеры-задач-pisa.</w:t>
        </w:r>
      </w:hyperlink>
    </w:p>
    <w:p w:rsidR="00226B3D" w:rsidRPr="00226B3D" w:rsidRDefault="00226B3D" w:rsidP="00226B3D">
      <w:p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26B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4. Примеры открытых заданий PISA по читательской, математической, естественнонаучной, финансовой грамотности и заданий по совместному решению задач </w:t>
      </w:r>
      <w:hyperlink r:id="rId10" w:tgtFrame="_blank" w:history="1">
        <w:r w:rsidRPr="00226B3D">
          <w:rPr>
            <w:rStyle w:val="a3"/>
            <w:rFonts w:ascii="YS Text" w:eastAsia="Times New Roman" w:hAnsi="YS Text" w:cs="Times New Roman"/>
            <w:sz w:val="23"/>
            <w:szCs w:val="23"/>
            <w:lang w:eastAsia="ru-RU"/>
          </w:rPr>
          <w:t>http://center-imc.ru/wp-content/uploads/2020/02/10120.pdf.</w:t>
        </w:r>
      </w:hyperlink>
    </w:p>
    <w:p w:rsidR="00226B3D" w:rsidRPr="00226B3D" w:rsidRDefault="00226B3D" w:rsidP="00226B3D">
      <w:p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26B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5. Банк заданий для формирования и оценки функциональной грамотности обучающихся основной школы (5-9 классы). ФГБНУ Институт стратегии развития образования Российской академии образования </w:t>
      </w:r>
      <w:hyperlink r:id="rId11" w:history="1">
        <w:r w:rsidRPr="00226B3D">
          <w:rPr>
            <w:rStyle w:val="a3"/>
            <w:rFonts w:ascii="YS Text" w:eastAsia="Times New Roman" w:hAnsi="YS Text" w:cs="Times New Roman"/>
            <w:sz w:val="23"/>
            <w:szCs w:val="23"/>
            <w:lang w:eastAsia="ru-RU"/>
          </w:rPr>
          <w:t>http://skiv.instrao.ru/bank-zadaniy/.</w:t>
        </w:r>
      </w:hyperlink>
    </w:p>
    <w:p w:rsidR="00226B3D" w:rsidRPr="00226B3D" w:rsidRDefault="00226B3D" w:rsidP="00226B3D">
      <w:p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26B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6. Демонстрационные материалы для оценки функциональной грамотности учащихся 5 и 7 классов </w:t>
      </w:r>
      <w:hyperlink r:id="rId12" w:history="1">
        <w:r w:rsidRPr="00226B3D">
          <w:rPr>
            <w:rStyle w:val="a3"/>
            <w:rFonts w:ascii="YS Text" w:eastAsia="Times New Roman" w:hAnsi="YS Text" w:cs="Times New Roman"/>
            <w:sz w:val="23"/>
            <w:szCs w:val="23"/>
            <w:lang w:eastAsia="ru-RU"/>
          </w:rPr>
          <w:t>http://skiv.instrao.ru/support/demonstratsionnye-materialya/.</w:t>
        </w:r>
      </w:hyperlink>
    </w:p>
    <w:p w:rsidR="00226B3D" w:rsidRPr="00226B3D" w:rsidRDefault="00226B3D" w:rsidP="00226B3D">
      <w:p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226B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7. </w:t>
      </w:r>
      <w:proofErr w:type="spellStart"/>
      <w:r w:rsidRPr="00226B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Вебинары</w:t>
      </w:r>
      <w:proofErr w:type="spellEnd"/>
      <w:r w:rsidRPr="00226B3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для учителей-предметников по функциональной грамотности </w:t>
      </w:r>
      <w:hyperlink r:id="rId13" w:history="1">
        <w:r w:rsidRPr="00226B3D">
          <w:rPr>
            <w:rStyle w:val="a3"/>
            <w:rFonts w:ascii="YS Text" w:eastAsia="Times New Roman" w:hAnsi="YS Text" w:cs="Times New Roman"/>
            <w:sz w:val="23"/>
            <w:szCs w:val="23"/>
            <w:lang w:eastAsia="ru-RU"/>
          </w:rPr>
          <w:t>https://prosv.ru/webinars.</w:t>
        </w:r>
      </w:hyperlink>
    </w:p>
    <w:p w:rsidR="00FB734B" w:rsidRPr="00FB734B" w:rsidRDefault="00FB734B" w:rsidP="00FB734B">
      <w:pP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FB734B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Рекомендуемые электронные ресурсы (для формирования функциональной грамотности)</w:t>
      </w:r>
    </w:p>
    <w:p w:rsidR="00FB734B" w:rsidRPr="00FB734B" w:rsidRDefault="00FB734B" w:rsidP="00FB734B">
      <w:pPr>
        <w:numPr>
          <w:ilvl w:val="0"/>
          <w:numId w:val="1"/>
        </w:num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hyperlink r:id="rId14" w:tgtFrame="_blank" w:history="1">
        <w:r w:rsidRPr="00FB734B">
          <w:rPr>
            <w:rStyle w:val="a3"/>
            <w:rFonts w:ascii="YS Text" w:eastAsia="Times New Roman" w:hAnsi="YS Text" w:cs="Times New Roman"/>
            <w:sz w:val="23"/>
            <w:szCs w:val="23"/>
            <w:lang w:eastAsia="ru-RU"/>
          </w:rPr>
          <w:t>ФГБНУ</w:t>
        </w:r>
        <w:bookmarkStart w:id="0" w:name="_GoBack"/>
        <w:bookmarkEnd w:id="0"/>
        <w:r w:rsidRPr="00FB734B">
          <w:rPr>
            <w:rStyle w:val="a3"/>
            <w:rFonts w:ascii="YS Text" w:eastAsia="Times New Roman" w:hAnsi="YS Text" w:cs="Times New Roman"/>
            <w:sz w:val="23"/>
            <w:szCs w:val="23"/>
            <w:lang w:eastAsia="ru-RU"/>
          </w:rPr>
          <w:t xml:space="preserve"> «Институт стратегии развития образования Российской Академии наук»</w:t>
        </w:r>
      </w:hyperlink>
    </w:p>
    <w:p w:rsidR="00FB734B" w:rsidRPr="00FB734B" w:rsidRDefault="00FB734B" w:rsidP="00FB734B">
      <w:pPr>
        <w:numPr>
          <w:ilvl w:val="0"/>
          <w:numId w:val="1"/>
        </w:num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hyperlink r:id="rId15" w:tgtFrame="_blank" w:history="1">
        <w:r w:rsidRPr="00FB734B">
          <w:rPr>
            <w:rStyle w:val="a3"/>
            <w:rFonts w:ascii="YS Text" w:eastAsia="Times New Roman" w:hAnsi="YS Text" w:cs="Times New Roman"/>
            <w:sz w:val="23"/>
            <w:szCs w:val="23"/>
            <w:lang w:eastAsia="ru-RU"/>
          </w:rPr>
          <w:t>СИПКРО</w:t>
        </w:r>
      </w:hyperlink>
    </w:p>
    <w:p w:rsidR="00FB734B" w:rsidRPr="00FB734B" w:rsidRDefault="00FB734B" w:rsidP="00FB734B">
      <w:pPr>
        <w:numPr>
          <w:ilvl w:val="0"/>
          <w:numId w:val="1"/>
        </w:num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hyperlink r:id="rId16" w:tgtFrame="_blank" w:history="1">
        <w:r w:rsidRPr="00FB734B">
          <w:rPr>
            <w:rStyle w:val="a3"/>
            <w:rFonts w:ascii="YS Text" w:eastAsia="Times New Roman" w:hAnsi="YS Text" w:cs="Times New Roman"/>
            <w:sz w:val="23"/>
            <w:szCs w:val="23"/>
            <w:lang w:eastAsia="ru-RU"/>
          </w:rPr>
          <w:t>Издательство «Просвещение»</w:t>
        </w:r>
      </w:hyperlink>
    </w:p>
    <w:p w:rsidR="00FB734B" w:rsidRPr="00FB734B" w:rsidRDefault="00FB734B" w:rsidP="00FB734B">
      <w:pPr>
        <w:numPr>
          <w:ilvl w:val="0"/>
          <w:numId w:val="1"/>
        </w:num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hyperlink r:id="rId17" w:tgtFrame="_blank" w:history="1">
        <w:r w:rsidRPr="00FB734B">
          <w:rPr>
            <w:rStyle w:val="a3"/>
            <w:rFonts w:ascii="YS Text" w:eastAsia="Times New Roman" w:hAnsi="YS Text" w:cs="Times New Roman"/>
            <w:sz w:val="23"/>
            <w:szCs w:val="23"/>
            <w:lang w:eastAsia="ru-RU"/>
          </w:rPr>
          <w:t>Банк тестов</w:t>
        </w:r>
      </w:hyperlink>
    </w:p>
    <w:p w:rsidR="00FB734B" w:rsidRPr="00FB734B" w:rsidRDefault="00FB734B" w:rsidP="00FB734B">
      <w:pPr>
        <w:numPr>
          <w:ilvl w:val="0"/>
          <w:numId w:val="1"/>
        </w:num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hyperlink r:id="rId18" w:tgtFrame="_blank" w:history="1">
        <w:r w:rsidRPr="00FB734B">
          <w:rPr>
            <w:rStyle w:val="a3"/>
            <w:rFonts w:ascii="YS Text" w:eastAsia="Times New Roman" w:hAnsi="YS Text" w:cs="Times New Roman"/>
            <w:sz w:val="23"/>
            <w:szCs w:val="23"/>
            <w:lang w:eastAsia="ru-RU"/>
          </w:rPr>
          <w:t>Московский центр качества образования</w:t>
        </w:r>
      </w:hyperlink>
    </w:p>
    <w:p w:rsidR="00FB734B" w:rsidRPr="00FB734B" w:rsidRDefault="00FB734B" w:rsidP="00FB734B">
      <w:pPr>
        <w:numPr>
          <w:ilvl w:val="0"/>
          <w:numId w:val="1"/>
        </w:num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hyperlink r:id="rId19" w:tgtFrame="_blank" w:history="1">
        <w:r w:rsidRPr="00FB734B">
          <w:rPr>
            <w:rStyle w:val="a3"/>
            <w:rFonts w:ascii="YS Text" w:eastAsia="Times New Roman" w:hAnsi="YS Text" w:cs="Times New Roman"/>
            <w:sz w:val="23"/>
            <w:szCs w:val="23"/>
            <w:lang w:eastAsia="ru-RU"/>
          </w:rPr>
          <w:t>Марафон по функциональной грамотности. Яндекс-Учебник</w:t>
        </w:r>
      </w:hyperlink>
    </w:p>
    <w:p w:rsidR="00FB3FB2" w:rsidRDefault="00FB3FB2">
      <w:pP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460964" w:rsidRPr="00FB3FB2" w:rsidRDefault="00460964">
      <w:pPr>
        <w:rPr>
          <w:rFonts w:ascii="Times New Roman" w:hAnsi="Times New Roman" w:cs="Times New Roman"/>
          <w:sz w:val="24"/>
          <w:szCs w:val="24"/>
        </w:rPr>
      </w:pPr>
    </w:p>
    <w:sectPr w:rsidR="00460964" w:rsidRPr="00FB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ada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C6FFC"/>
    <w:multiLevelType w:val="multilevel"/>
    <w:tmpl w:val="B920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B2"/>
    <w:rsid w:val="001D6515"/>
    <w:rsid w:val="00226B3D"/>
    <w:rsid w:val="00460964"/>
    <w:rsid w:val="00FB3FB2"/>
    <w:rsid w:val="00FB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E7821-AA52-4945-B7CD-77B054C1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FB2"/>
    <w:rPr>
      <w:color w:val="0000FF"/>
      <w:u w:val="single"/>
    </w:rPr>
  </w:style>
  <w:style w:type="character" w:customStyle="1" w:styleId="path-separator">
    <w:name w:val="path-separator"/>
    <w:basedOn w:val="a0"/>
    <w:rsid w:val="00226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vebinar-shkoly-ocenka-pisa" TargetMode="External"/><Relationship Id="rId13" Type="http://schemas.openxmlformats.org/officeDocument/2006/relationships/hyperlink" Target="https://uchitel.club/events/vebinary/filter" TargetMode="External"/><Relationship Id="rId18" Type="http://schemas.openxmlformats.org/officeDocument/2006/relationships/hyperlink" Target="https://mcko.ru/articles/212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instruction" TargetMode="External"/><Relationship Id="rId12" Type="http://schemas.openxmlformats.org/officeDocument/2006/relationships/hyperlink" Target="http://skiv.instrao.ru/support/demonstratsionnye-materialya/" TargetMode="External"/><Relationship Id="rId17" Type="http://schemas.openxmlformats.org/officeDocument/2006/relationships/hyperlink" Target="https://banktestov.ru/test/36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a.prosv.ru/fg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?redirectAfterLogin=%2Ffunctionalliteracy%2Fevents" TargetMode="External"/><Relationship Id="rId11" Type="http://schemas.openxmlformats.org/officeDocument/2006/relationships/hyperlink" Target="http://skiv.instrao.ru/bank-zadaniy/" TargetMode="External"/><Relationship Id="rId5" Type="http://schemas.openxmlformats.org/officeDocument/2006/relationships/hyperlink" Target="https://rosuchebnik.ru/upload/iblock/a72/a72e1ae5c9b441a4d7e0c58530461620.pdf" TargetMode="External"/><Relationship Id="rId15" Type="http://schemas.openxmlformats.org/officeDocument/2006/relationships/hyperlink" Target="http://old.sipkro.ru/index.php/86-%D0%BF%D0%BE%D0%B4%D1%80%D0%B0%D0%B7%D0%B4%D0%B5%D0%BB%D0%B5%D0%BD%D0%B8%D1%8F/1381-fgo" TargetMode="External"/><Relationship Id="rId10" Type="http://schemas.openxmlformats.org/officeDocument/2006/relationships/hyperlink" Target="http://center-imc.ru/wp-content/uploads/2020/02/10120.pdf" TargetMode="External"/><Relationship Id="rId19" Type="http://schemas.openxmlformats.org/officeDocument/2006/relationships/hyperlink" Target="https://yandex.ru/promo/education/specpro/marathon2020/m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%D0%BF%D1%80%D0%B8%D0%BC%D0%B5%D1%80%D1%8B-%D0%B7%D0%B0%D0%B4%D0%B0%D1%87-pisa" TargetMode="External"/><Relationship Id="rId14" Type="http://schemas.openxmlformats.org/officeDocument/2006/relationships/hyperlink" Target="http://skiv.instrao.ru/support/demonstratsionnye-materialya/chitatelskaya-gramotnos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2022-10-27T10:54:00Z</dcterms:created>
  <dcterms:modified xsi:type="dcterms:W3CDTF">2022-10-27T11:23:00Z</dcterms:modified>
</cp:coreProperties>
</file>