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80020D">
        <w:t>Бергер О.Н.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80020D">
        <w:t>Черепанова А.А.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  <w:bookmarkStart w:id="0" w:name="_GoBack"/>
      <w:bookmarkEnd w:id="0"/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80020D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